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微软雅黑" w:hAnsi="微软雅黑" w:eastAsia="微软雅黑" w:cs="宋体"/>
          <w:b/>
          <w:bCs/>
          <w:color w:val="323232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0"/>
          <w:szCs w:val="30"/>
        </w:rPr>
        <w:t>北京理工大学光电学院2023年全国优秀大学生暑期夏令营</w:t>
      </w:r>
    </w:p>
    <w:p>
      <w:pPr>
        <w:widowControl/>
        <w:shd w:val="clear" w:color="auto" w:fill="FFFFFF"/>
        <w:jc w:val="center"/>
        <w:outlineLvl w:val="2"/>
        <w:rPr>
          <w:rFonts w:ascii="微软雅黑" w:hAnsi="微软雅黑" w:eastAsia="微软雅黑" w:cs="宋体"/>
          <w:b/>
          <w:bCs/>
          <w:color w:val="323232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0"/>
          <w:szCs w:val="30"/>
        </w:rPr>
        <w:t>报名通知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为了促进全国各高校间学术交流，让更多的优秀大学生增进对北京理工大学生光电学院的了解，光电学院拟于2023年7月举行为期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3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天的线上“全国优秀大学生暑期夏令营”。此次夏令营的规模为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2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00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人左右，接收营员对象为全国高校优秀本科生。欢迎有意报考北京理工大学光电学院研究生的2024年应届大学本科毕业生踊跃报名参加。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　　一、北京理工大学及光电学院简介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　　北京理工大学隶属于工业和信息化部，是一所理工为主，工理管文协调发展的全国重点大学，是新中国成立以来国家历批次重点建设的高校，首批设立研究生院，首批进入国家“211工程”、“985工程”和“双一流”建设行列。北京理工大学是中国共产党创办的第一所理工科大学，其前身是1940年创办于延安的自然科学院，李富春、徐特立、李强等老一辈无产阶级革命家先后担任学校的主要领导。</w:t>
      </w:r>
    </w:p>
    <w:p>
      <w:pPr>
        <w:widowControl/>
        <w:shd w:val="clear" w:color="auto" w:fill="FFFFFF"/>
        <w:spacing w:line="390" w:lineRule="atLeast"/>
        <w:ind w:firstLine="460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北京理工大学光电学院始建于1953年，由新中国第一个军用光学仪器专业—光学仪器设计与制造专业发展而来。建院七十载，学院秉承北京理工大学“延安根、军工魂”红色基因，赤心报国，砥砺奋进，办学实力雄厚，优势特色鲜明，办学成果显著，累计培养了万余名优秀人才，取得了多项“新中国第一”、国家科学技术奖等重大科技成果，为国家经济社会发展和国防建设做出了突出贡献。初心拳拳，使命昭昭，学院紧瞄国家重大战略需求和世界科技前沿，努力建设一流学科，勇攀科技高峰，培养知识、能力和素养并重的拔尖创新领军领导人才，铸就奋进新时代的璀璨之光！</w:t>
      </w:r>
    </w:p>
    <w:p>
      <w:pPr>
        <w:widowControl/>
        <w:shd w:val="clear" w:color="auto" w:fill="FFFFFF"/>
        <w:spacing w:line="390" w:lineRule="atLeast"/>
        <w:ind w:firstLine="460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学院现有教职工近180人，博士生导师74名，其中中国科学院和中国工程院院士共3名，国家级人才计划入选者20余名，省部级人才计划入选者30余名，省部级以上创新团队2个。北京市教学名师4名，国家级、北京市教学团队3个。</w:t>
      </w:r>
    </w:p>
    <w:p>
      <w:pPr>
        <w:widowControl/>
        <w:shd w:val="clear" w:color="auto" w:fill="FFFFFF"/>
        <w:spacing w:line="390" w:lineRule="atLeast"/>
        <w:ind w:firstLine="456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学院拥有“虚拟现实/增强现实技术及应用”国家工程实验室、“光电成像技术与系统”教育部重点实验室、“信息光子技术”工信部重点实验室、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“复杂环境智能感测技术”工信部重点实验室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、“混合现实与新型显示”北京市工程技术研究中心、“精密光电测试仪器及技术”北京市重点实验室、以及“颜色科学与工程”国家重点学科专业实验室等科研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平台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，可为研究生提供优越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科研条件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。</w:t>
      </w:r>
    </w:p>
    <w:p>
      <w:pPr>
        <w:widowControl/>
        <w:shd w:val="clear" w:color="auto" w:fill="FFFFFF"/>
        <w:spacing w:line="390" w:lineRule="atLeast"/>
        <w:ind w:firstLine="456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学院建有“工程光学”国家级虚拟仿真教学实验中心、工信部光电实验教学示范中心、光电创新教育实验基地、“国家级工程实践教育中心”“工信部校企协同育人示范基地”“北京市校外人才培养基地”。学生积极参加国内外各类课外科技创新竞赛，在挑战杯、全国光电设计竞赛、全国机械设计竞赛等各类大赛中成绩名列全国高校前列。在我国最高级别大学生科技创新竞赛—中国“互联网+”大学生创新创业大赛中，连续两年获得“金奖”。</w:t>
      </w:r>
    </w:p>
    <w:p>
      <w:pPr>
        <w:widowControl/>
        <w:shd w:val="clear" w:color="auto" w:fill="FFFFFF"/>
        <w:spacing w:line="390" w:lineRule="atLeast"/>
        <w:ind w:firstLine="456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学院招收：光学工程学科和仪器科学与技术学科的学术学位硕士研究生，光电信息工程和仪器仪表工程的专业学位硕士研究生。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highlight w:val="none"/>
        </w:rPr>
        <w:t>　　二、夏令营活动安排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活动暂定于2023年7月4日线上举行，为期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3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天。初步时间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安排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如下：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月1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3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日—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月23日，夏令营报名；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月23日—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月25日，选拔确定营员名单；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6月26日—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月28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日，公布营员名单并收取参营回执；</w:t>
      </w:r>
    </w:p>
    <w:p>
      <w:pPr>
        <w:widowControl/>
        <w:shd w:val="clear" w:color="auto" w:fill="FFFFFF"/>
        <w:spacing w:line="390" w:lineRule="atLeast"/>
        <w:ind w:firstLine="456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7月4日—7月6日，举办线上学术夏令营活动，具体日程安排另行通知。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若开营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时间有变动会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及时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通知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，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请关注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学院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网站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后续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通知。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三、活动报名申请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（一）申请资格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1.重点面向国内高校光电、信息、测控、仪器仪表等专业，有望获得研究生推免资格的2024届本科毕业生；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2.品学兼优，在校期间有良好口碑；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3.学习成绩优异，具有继续深造攻读研究生的愿望及潜质，对所报专业有浓厚的兴趣；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4.国家大学英语四级480分或六级450分以上，或者其他同等级别英语水平证明；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5.性格开朗，积极参加集体活动；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6.优先考虑达到所在高校推荐免试生要求，本科期间在核心期刊及以上学术刊物发表论文、授权国家发明专利、获科研成果奖、在国内外高水平科技竞赛中获奖者优先。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（二）申请办法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请于2023年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月23日前将以下材料做成电子扫描版发送至 gdyjsjx@bit.edu.cn ，邮件主题请注明“学校+专业+姓名+光电学院2023夏令营”。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需要提交的材料包括：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1.《北京理工大学光电学院2023年暑期夏令营申请表》（见附件1）（须本人签字，加盖教务部门或院系公章）；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2.《北京理工大学光电学院2023年暑期夏令营个人信息表》（见附件2）（excel表格）；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3.专家推荐信两份，要求两位推荐专家均具有副高及以上职称；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4.本科成绩单（需加盖教务处公章）；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5.英语水平证明材料；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6.身份证复印件（正反面复印在一张纸上）和学生证复印件；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7.其他与上述“申请资格”要求相符的证明材料（如已发表论文的复印件、奖状复印件、各类证书复印件等）。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（三）相关说明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1.学院对于确定录取并完成活动安排的营员颁发证书。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.报名截止后，学院将组织专家对申请人资格进行审核并择优录取，录取结果将以邮件或电话方式通知申请人，并在学院网站公布，请各位同学密切关注光电学院网站。申请人需在两日内确认是否参加，逾期未确认视为自动放弃资格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四、暑期夏令营激励政策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1.优秀营员名额：根据学院可接收推免生的名额择优确定；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2.优秀营员政策：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（1）发放优秀营员证书；</w:t>
      </w:r>
    </w:p>
    <w:p>
      <w:pPr>
        <w:widowControl/>
        <w:shd w:val="clear" w:color="auto" w:fill="FFFFFF"/>
        <w:spacing w:line="390" w:lineRule="atLeast"/>
        <w:ind w:firstLine="460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（2）对于获得所在学校推免生资格的“优秀营员”，若满足我校2024年全国硕士研究生招生考试要求，则同等条件下优先录取（具体以北京理工大学2024年接收推荐免试硕士学位研究生文件为准）。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五、其他说明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1.本次夏令营具体活动安排见后续通知；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2.夏令营活动期间，全体营员接受学院统一的活动安排；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3.本通知如与学校文件冲突，以学校文件为准。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六、联系方式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本学院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硕士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导师的研究方向、学术成果、联系方式等可登陆北京理工大学光电学院网站查看。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组委会联系人: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 xml:space="preserve"> 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郝老师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联系电话：010-68918440，15901551724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邮箱: gdyjsjx@bit.edu.cn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</w:p>
    <w:p>
      <w:pPr>
        <w:widowControl/>
        <w:shd w:val="clear" w:color="auto" w:fill="FFFFFF"/>
        <w:wordWrap w:val="0"/>
        <w:spacing w:line="390" w:lineRule="atLeast"/>
        <w:jc w:val="righ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 xml:space="preserve">　　光电学院  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 xml:space="preserve">  </w:t>
      </w:r>
    </w:p>
    <w:p>
      <w:pPr>
        <w:widowControl/>
        <w:shd w:val="clear" w:color="auto" w:fill="FFFFFF"/>
        <w:spacing w:line="390" w:lineRule="atLeast"/>
        <w:jc w:val="right"/>
        <w:rPr>
          <w:rFonts w:ascii="微软雅黑" w:hAnsi="微软雅黑" w:eastAsia="微软雅黑" w:cs="宋体"/>
          <w:color w:val="323232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　　2023年6月</w:t>
      </w:r>
      <w:r>
        <w:rPr>
          <w:rFonts w:ascii="微软雅黑" w:hAnsi="微软雅黑" w:eastAsia="微软雅黑" w:cs="宋体"/>
          <w:color w:val="323232"/>
          <w:kern w:val="0"/>
          <w:sz w:val="23"/>
          <w:szCs w:val="23"/>
        </w:rPr>
        <w:t>1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23232"/>
          <w:kern w:val="0"/>
          <w:sz w:val="23"/>
          <w:szCs w:val="23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8C0B02"/>
    <w:rsid w:val="00071D20"/>
    <w:rsid w:val="00155DC8"/>
    <w:rsid w:val="00253DE7"/>
    <w:rsid w:val="002571DA"/>
    <w:rsid w:val="00263EC8"/>
    <w:rsid w:val="00285E3D"/>
    <w:rsid w:val="00307529"/>
    <w:rsid w:val="00320184"/>
    <w:rsid w:val="004239F1"/>
    <w:rsid w:val="004909AA"/>
    <w:rsid w:val="004C6AA6"/>
    <w:rsid w:val="005447F7"/>
    <w:rsid w:val="00554918"/>
    <w:rsid w:val="005D0E8C"/>
    <w:rsid w:val="00725F12"/>
    <w:rsid w:val="007A3911"/>
    <w:rsid w:val="007C60BC"/>
    <w:rsid w:val="00802405"/>
    <w:rsid w:val="008365EB"/>
    <w:rsid w:val="008B66D9"/>
    <w:rsid w:val="008C0B02"/>
    <w:rsid w:val="00917C2F"/>
    <w:rsid w:val="009661E5"/>
    <w:rsid w:val="009C1114"/>
    <w:rsid w:val="00A00AC0"/>
    <w:rsid w:val="00A4078F"/>
    <w:rsid w:val="00A41A74"/>
    <w:rsid w:val="00A73678"/>
    <w:rsid w:val="00A966CC"/>
    <w:rsid w:val="00AC2C78"/>
    <w:rsid w:val="00C51A5C"/>
    <w:rsid w:val="00CC532D"/>
    <w:rsid w:val="00D53796"/>
    <w:rsid w:val="00F44957"/>
    <w:rsid w:val="00F91A90"/>
    <w:rsid w:val="00FF4C69"/>
    <w:rsid w:val="09F83784"/>
    <w:rsid w:val="0C2C39B0"/>
    <w:rsid w:val="0CB657C6"/>
    <w:rsid w:val="14375041"/>
    <w:rsid w:val="1518015B"/>
    <w:rsid w:val="15626361"/>
    <w:rsid w:val="1DFC64FF"/>
    <w:rsid w:val="24A00310"/>
    <w:rsid w:val="253B210F"/>
    <w:rsid w:val="31206994"/>
    <w:rsid w:val="3353620D"/>
    <w:rsid w:val="3DB72FE5"/>
    <w:rsid w:val="43571209"/>
    <w:rsid w:val="44406040"/>
    <w:rsid w:val="46100A42"/>
    <w:rsid w:val="48662DB0"/>
    <w:rsid w:val="4960298B"/>
    <w:rsid w:val="4AE57206"/>
    <w:rsid w:val="4CDB19E9"/>
    <w:rsid w:val="4F7902D6"/>
    <w:rsid w:val="4FBE5683"/>
    <w:rsid w:val="4FED32E1"/>
    <w:rsid w:val="52F61A46"/>
    <w:rsid w:val="531620E8"/>
    <w:rsid w:val="53356E5E"/>
    <w:rsid w:val="5342586E"/>
    <w:rsid w:val="5C0C776C"/>
    <w:rsid w:val="5C550BA8"/>
    <w:rsid w:val="64146BBD"/>
    <w:rsid w:val="67F105D6"/>
    <w:rsid w:val="68B403EA"/>
    <w:rsid w:val="73B86CF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5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2023-06-13T08:42:00Z</dcterms:created>
  <dc:creator>Administrator</dc:creator>
  <cp:lastModifiedBy>tintin</cp:lastModifiedBy>
  <dcterms:modified xsi:type="dcterms:W3CDTF">2023-06-13T09:16:14Z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93F947C5B68B41E5925756CCEC21E1DF_13</vt:lpwstr>
  </property>
</Properties>
</file>